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rPr>
          <w:color w:val="007ad0"/>
          <w:sz w:val="36"/>
          <w:szCs w:val="36"/>
          <w:highlight w:val="white"/>
        </w:rPr>
      </w:pPr>
      <w:r w:rsidDel="00000000" w:rsidR="00000000" w:rsidRPr="00000000">
        <w:rPr>
          <w:color w:val="007ad0"/>
          <w:sz w:val="36"/>
          <w:szCs w:val="36"/>
          <w:highlight w:val="white"/>
          <w:rtl w:val="0"/>
        </w:rPr>
        <w:t xml:space="preserve">Объекты спорта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rPr>
          <w:color w:val="555555"/>
          <w:sz w:val="21"/>
          <w:szCs w:val="21"/>
          <w:highlight w:val="white"/>
        </w:rPr>
      </w:pPr>
      <w:r w:rsidDel="00000000" w:rsidR="00000000" w:rsidRPr="00000000">
        <w:rPr>
          <w:color w:val="555555"/>
          <w:sz w:val="21"/>
          <w:szCs w:val="21"/>
          <w:highlight w:val="white"/>
          <w:rtl w:val="0"/>
        </w:rPr>
        <w:t xml:space="preserve">На территории МБДОУ "Детский сад 12" оборудована спортивная площадка.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600" w:line="377.14285714285717" w:lineRule="auto"/>
        <w:rPr>
          <w:color w:val="007ad0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color w:val="007ad0"/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